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6980"/>
      </w:tblGrid>
      <w:tr>
        <w:trPr>
          <w:trHeight w:val="1000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Toimumise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koht:</w:t>
            </w:r>
          </w:p>
        </w:tc>
        <w:tc>
          <w:tcPr>
            <w:tcW w:w="69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ASTOR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MTÜ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Registrikood: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80646992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Viru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väljak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Kesklinna linnaosa,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Tallinn,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Harju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maakond</w:t>
            </w:r>
          </w:p>
        </w:tc>
      </w:tr>
      <w:tr>
        <w:trPr>
          <w:trHeight w:val="1002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Õppekava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nimetus</w:t>
            </w:r>
          </w:p>
        </w:tc>
        <w:tc>
          <w:tcPr>
            <w:tcW w:w="6980" w:type="dxa"/>
          </w:tcPr>
          <w:p>
            <w:pPr>
              <w:pStyle w:val="TableParagraph"/>
              <w:spacing w:line="259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A2-taseme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tasemeeksamiks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ettevalmistamisele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suunatud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eesti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keele täienduskoolituse õppekava</w:t>
            </w:r>
          </w:p>
        </w:tc>
      </w:tr>
      <w:tr>
        <w:trPr>
          <w:trHeight w:val="577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Õppekavarühm</w:t>
            </w:r>
          </w:p>
        </w:tc>
        <w:tc>
          <w:tcPr>
            <w:tcW w:w="698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Keeleõpe</w:t>
            </w:r>
          </w:p>
        </w:tc>
      </w:tr>
      <w:tr>
        <w:trPr>
          <w:trHeight w:val="1656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Õpiväljundid</w:t>
            </w:r>
          </w:p>
        </w:tc>
        <w:tc>
          <w:tcPr>
            <w:tcW w:w="69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78" w:lineRule="auto" w:before="1" w:after="0"/>
              <w:ind w:left="825" w:right="40" w:hanging="360"/>
              <w:jc w:val="left"/>
              <w:rPr>
                <w:sz w:val="24"/>
              </w:rPr>
            </w:pPr>
            <w:r>
              <w:rPr>
                <w:sz w:val="24"/>
              </w:rPr>
              <w:t>Saab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aru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lühikestest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tekstidest,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dialoogidest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üldtuntud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teemasid käsitletavatest fraasidest.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78" w:lineRule="auto" w:before="1" w:after="0"/>
              <w:ind w:left="825" w:right="41" w:hanging="360"/>
              <w:jc w:val="left"/>
              <w:rPr>
                <w:sz w:val="24"/>
              </w:rPr>
            </w:pPr>
            <w:r>
              <w:rPr>
                <w:sz w:val="24"/>
              </w:rPr>
              <w:t>Kirjutab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tuttavatel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teemadel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lühikesi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tekste,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isiklikke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kirju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ja teateid ning oskab teha märkmeid ja täita dokumente.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auto" w:before="1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Suhtleb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igapäevaeluga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teemadel.</w:t>
            </w:r>
          </w:p>
        </w:tc>
      </w:tr>
      <w:tr>
        <w:trPr>
          <w:trHeight w:val="1233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Sihtgrupp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õppe </w:t>
            </w:r>
            <w:r>
              <w:rPr>
                <w:b/>
                <w:spacing w:val="-2"/>
                <w:sz w:val="24"/>
              </w:rPr>
              <w:t>alustamise tingimused</w:t>
            </w:r>
          </w:p>
        </w:tc>
        <w:tc>
          <w:tcPr>
            <w:tcW w:w="6980" w:type="dxa"/>
          </w:tcPr>
          <w:p>
            <w:pPr>
              <w:pStyle w:val="TableParagraph"/>
              <w:spacing w:line="259" w:lineRule="auto" w:before="1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Täiskasvanud, kes on lõpetanud A1 – taseme eesti keele kursuse. Õppijate keeleoskustase selgitatakse eelnevalt välja veebitestiga </w:t>
            </w: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https://viktoriin.meis.ee/soeltest/</w:t>
              </w:r>
            </w:hyperlink>
          </w:p>
        </w:tc>
      </w:tr>
      <w:tr>
        <w:trPr>
          <w:trHeight w:val="1495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6"/>
              <w:ind w:left="11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Õppe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kogumaht, </w:t>
            </w:r>
            <w:r>
              <w:rPr>
                <w:b/>
                <w:spacing w:val="-2"/>
                <w:sz w:val="24"/>
              </w:rPr>
              <w:t>sealhulgas </w:t>
            </w:r>
            <w:r>
              <w:rPr>
                <w:b/>
                <w:sz w:val="24"/>
              </w:rPr>
              <w:t>auditoorse ja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iseseisva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töö</w:t>
            </w:r>
          </w:p>
          <w:p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osakaal</w:t>
            </w:r>
          </w:p>
        </w:tc>
        <w:tc>
          <w:tcPr>
            <w:tcW w:w="6980" w:type="dxa"/>
          </w:tcPr>
          <w:p>
            <w:pPr>
              <w:pStyle w:val="TableParagraph"/>
              <w:spacing w:line="259" w:lineRule="auto" w:before="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Õppe kogumaht on 200 akadeemilist tundi, </w:t>
            </w:r>
            <w:r>
              <w:rPr>
                <w:b/>
                <w:sz w:val="24"/>
              </w:rPr>
              <w:t>millest 160 akadeemilist tundi on kontaktõpe ja 40 akadeemilist tundi on iseseisev töö </w:t>
            </w:r>
            <w:r>
              <w:rPr>
                <w:sz w:val="24"/>
              </w:rPr>
              <w:t>(iseseisva töö käigus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omandatakse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sõnavara, kinnistatakse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auditoorse)</w:t>
            </w:r>
          </w:p>
        </w:tc>
      </w:tr>
      <w:tr>
        <w:trPr>
          <w:trHeight w:val="6283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Õppe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sisu</w:t>
            </w:r>
          </w:p>
        </w:tc>
        <w:tc>
          <w:tcPr>
            <w:tcW w:w="698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37" w:lineRule="auto" w:before="1" w:after="0"/>
              <w:ind w:left="825" w:right="56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Endast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teistest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rääkimine: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tutvumine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tutvustamine; lihtsam enesekohane informatsioon; välimus; isiklik ankeet; perekond ja sugulased.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2229" w:val="left" w:leader="none"/>
                <w:tab w:pos="3645" w:val="left" w:leader="none"/>
                <w:tab w:pos="5062" w:val="left" w:leader="none"/>
              </w:tabs>
              <w:spacing w:line="283" w:lineRule="auto" w:before="42" w:after="0"/>
              <w:ind w:left="825" w:right="494" w:hanging="36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Haridus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õpingud;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haridustee;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õppevahendid; õppimisvõimalused.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52" w:lineRule="auto" w:before="0" w:after="0"/>
              <w:ind w:left="825" w:right="68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Suhted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teiste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inimestega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tutvumine;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tervitused;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kõneetikett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 viisakusväljendid; telefoni- ja </w:t>
            </w:r>
            <w:r>
              <w:rPr>
                <w:sz w:val="24"/>
              </w:rPr>
              <w:t>kirjavahetusetikett; </w:t>
            </w:r>
            <w:r>
              <w:rPr>
                <w:spacing w:val="-2"/>
                <w:sz w:val="24"/>
              </w:rPr>
              <w:t>perekonnasuhted.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5" w:right="0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Igapäevaelu,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kodukoht: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igapäevased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tegevused;</w:t>
            </w:r>
          </w:p>
          <w:p>
            <w:pPr>
              <w:pStyle w:val="TableParagraph"/>
              <w:spacing w:line="276" w:lineRule="auto" w:before="38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eluase;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kodu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kirjeldamine;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kodutehnika;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külaliste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kutsumine; päeva kirjeldus; kodukoht ja selle ümbrus.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4" w:lineRule="auto" w:before="0" w:after="0"/>
              <w:ind w:left="825" w:right="248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Vaba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aeg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 meelelahutus: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vaba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veetmise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võimalused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 eelistused;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sport,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kino,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kontserdid,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muusika,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raamatud; kultuuri- ja meelelahutusüritused; kutse peole; kultuuri- ja meelelahutusasutused (piletid, lahtiolekuajad, asukohad).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35" w:lineRule="auto" w:before="4" w:after="0"/>
              <w:ind w:left="825" w:right="56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Sisseostud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hinnad: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poed,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asukohad,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lahtiolekuajad;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ostud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 </w:t>
            </w:r>
            <w:r>
              <w:rPr>
                <w:spacing w:val="-2"/>
                <w:sz w:val="24"/>
              </w:rPr>
              <w:t>tasumine.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7" w:after="0"/>
              <w:ind w:left="825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Reisimine,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transport,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vaatamisväärsused: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ja</w:t>
            </w:r>
          </w:p>
          <w:p>
            <w:pPr>
              <w:pStyle w:val="TableParagraph"/>
              <w:tabs>
                <w:tab w:pos="2229" w:val="left" w:leader="none"/>
                <w:tab w:pos="4353" w:val="left" w:leader="none"/>
                <w:tab w:pos="5062" w:val="left" w:leader="none"/>
              </w:tabs>
              <w:spacing w:line="259" w:lineRule="auto" w:before="22"/>
              <w:ind w:right="159"/>
              <w:rPr>
                <w:sz w:val="24"/>
              </w:rPr>
            </w:pPr>
            <w:r>
              <w:rPr>
                <w:sz w:val="24"/>
              </w:rPr>
              <w:t>liiklus;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planeerimine;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piletite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ostmine;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küsimine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tee </w:t>
            </w:r>
            <w:r>
              <w:rPr>
                <w:spacing w:val="-2"/>
                <w:sz w:val="24"/>
              </w:rPr>
              <w:t>juhatamine;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majutusasutused,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broneerimine;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vaatamisväärsused.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type w:val="continuous"/>
          <w:pgSz w:w="11910" w:h="16840"/>
          <w:pgMar w:top="1680" w:bottom="280" w:left="1417" w:right="1133"/>
        </w:sectPr>
      </w:pPr>
    </w:p>
    <w:tbl>
      <w:tblPr>
        <w:tblW w:w="0" w:type="auto"/>
        <w:jc w:val="left"/>
        <w:tblInd w:w="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6980"/>
      </w:tblGrid>
      <w:tr>
        <w:trPr>
          <w:trHeight w:val="5688" w:hRule="atLeast"/>
        </w:trPr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37" w:lineRule="auto" w:before="3" w:after="0"/>
              <w:ind w:left="825" w:right="99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Enesetunne, tervis ja heaolu: </w:t>
            </w:r>
            <w:r>
              <w:rPr>
                <w:sz w:val="24"/>
              </w:rPr>
              <w:t>kehaosad; enesetunne ja kaebused; haigused; arsti vastuvõtule registreerimine; haiglas ja polikliinikus; apteegis, riietusesemed.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8" w:lineRule="auto" w:before="48" w:after="0"/>
              <w:ind w:left="825" w:right="98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Söök ja jook: </w:t>
            </w:r>
            <w:r>
              <w:rPr>
                <w:sz w:val="24"/>
              </w:rPr>
              <w:t>toitlustusasutused; laua reserveerimine, menüü, söögi tellimine; toitumisharjumused; lauakombed.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56" w:lineRule="auto" w:before="0" w:after="0"/>
              <w:ind w:left="825" w:right="98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Teenindus: posti- ja pangateenused</w:t>
            </w:r>
            <w:r>
              <w:rPr>
                <w:sz w:val="24"/>
              </w:rPr>
              <w:t>; poed ja kaubanduskeskused;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asukoha,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lahtiolekuaegade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teenuste kohta; reklaamide põhisisu mõistmine.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8" w:lineRule="auto" w:before="14" w:after="0"/>
              <w:ind w:left="825" w:right="97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Kultuur ja keeled</w:t>
            </w:r>
            <w:r>
              <w:rPr>
                <w:sz w:val="24"/>
              </w:rPr>
              <w:t>, keelte õppimine: kultuurisündmused; keeleoskus; keeleõpe; vestlus päritolust ja keelte valdamisest.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9" w:lineRule="auto" w:before="0" w:after="0"/>
              <w:ind w:left="825" w:right="97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Keskkond, loodus, kohad ja ilm</w:t>
            </w:r>
            <w:r>
              <w:rPr>
                <w:sz w:val="24"/>
              </w:rPr>
              <w:t>: aastaajad, oma kodukoha kirjeldamine, oma asukoha kirjeldus, lühikõnelus ilmast. Vestlus loomadest, lindudest, taimedest.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13. </w:t>
            </w:r>
            <w:r>
              <w:rPr>
                <w:b/>
                <w:sz w:val="24"/>
              </w:rPr>
              <w:t>Töö: </w:t>
            </w:r>
            <w:r>
              <w:rPr>
                <w:b/>
                <w:sz w:val="24"/>
              </w:rPr>
              <w:t>Minu tööpäev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Tegutsemine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kontoris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või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tooteliinil. Tööga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rahulolu. Töö ja palk. Isiklikud suhted ja töösuhted.</w:t>
            </w:r>
          </w:p>
          <w:p>
            <w:pPr>
              <w:pStyle w:val="TableParagraph"/>
              <w:spacing w:before="30"/>
              <w:jc w:val="both"/>
              <w:rPr>
                <w:sz w:val="24"/>
              </w:rPr>
            </w:pPr>
            <w:r>
              <w:rPr>
                <w:sz w:val="24"/>
              </w:rPr>
              <w:t>Nõutavad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oskused. Juhtkond ja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kolleegid.</w:t>
            </w:r>
          </w:p>
          <w:p>
            <w:pPr>
              <w:pStyle w:val="TableParagraph"/>
              <w:spacing w:line="237" w:lineRule="auto" w:before="22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14. </w:t>
            </w:r>
            <w:r>
              <w:rPr>
                <w:b/>
                <w:sz w:val="24"/>
              </w:rPr>
              <w:t>Elukutse: Elukutsed ja ametinimetused</w:t>
            </w:r>
            <w:r>
              <w:rPr>
                <w:sz w:val="24"/>
              </w:rPr>
              <w:t>. Töökirjeldus, oma töökoha kirjeldus. Õige elukutse valik. Ümberõpe. Töökohustused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reeglid.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Nõutavad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oskused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kvalifikatsioon.</w:t>
            </w:r>
          </w:p>
        </w:tc>
      </w:tr>
      <w:tr>
        <w:trPr>
          <w:trHeight w:val="5439" w:hRule="atLeast"/>
        </w:trPr>
        <w:tc>
          <w:tcPr>
            <w:tcW w:w="2266" w:type="dxa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Keeleteadmised</w:t>
            </w:r>
          </w:p>
        </w:tc>
        <w:tc>
          <w:tcPr>
            <w:tcW w:w="698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Hääldamine: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lühike,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pikk ja ülipikk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Nõrk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tugev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aste;</w:t>
            </w:r>
          </w:p>
          <w:p>
            <w:pPr>
              <w:pStyle w:val="TableParagraph"/>
              <w:spacing w:before="177"/>
              <w:ind w:left="105"/>
              <w:rPr>
                <w:sz w:val="24"/>
              </w:rPr>
            </w:pPr>
            <w:r>
              <w:rPr>
                <w:sz w:val="24"/>
              </w:rPr>
              <w:t>Küsisõnad: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küsisõnade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tähendused;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küsilausete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moodustamine;</w:t>
            </w:r>
          </w:p>
          <w:p>
            <w:pPr>
              <w:pStyle w:val="TableParagraph"/>
              <w:spacing w:line="249" w:lineRule="auto" w:before="135"/>
              <w:ind w:left="105"/>
              <w:rPr>
                <w:sz w:val="24"/>
              </w:rPr>
            </w:pPr>
            <w:r>
              <w:rPr>
                <w:sz w:val="24"/>
              </w:rPr>
              <w:t>Isikulised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asesõnad: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pikad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lühikesed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vormid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kõige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sagedasemates käänetes (omastavas, alal- ja alaleütlevas käändes);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Hulgasõnad: hulgasõnade kasutamine sihitiselausetes;</w:t>
            </w:r>
          </w:p>
          <w:p>
            <w:pPr>
              <w:pStyle w:val="TableParagraph"/>
              <w:spacing w:before="87"/>
              <w:ind w:left="105" w:right="37"/>
              <w:rPr>
                <w:sz w:val="24"/>
              </w:rPr>
            </w:pPr>
            <w:r>
              <w:rPr>
                <w:sz w:val="24"/>
              </w:rPr>
              <w:t>Tegusõna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põhivormid: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ma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sz w:val="24"/>
              </w:rPr>
              <w:t>-tegevusnime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kasutamine,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mas</w:t>
            </w:r>
            <w:r>
              <w:rPr>
                <w:sz w:val="24"/>
              </w:rPr>
              <w:t>-ja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mata</w:t>
            </w:r>
            <w:r>
              <w:rPr>
                <w:spacing w:val="-2"/>
                <w:sz w:val="24"/>
              </w:rPr>
              <w:t>-vorm;</w:t>
            </w:r>
          </w:p>
          <w:p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sz w:val="24"/>
              </w:rPr>
              <w:t>Tegusõnad: tegusõnade pööramine oleviku ja lihtmineviku jaatavas ja eitavas kõnes; kindel, tingiv ja käskiv kõneviis;</w:t>
            </w:r>
          </w:p>
          <w:p>
            <w:pPr>
              <w:pStyle w:val="TableParagraph"/>
              <w:spacing w:line="242" w:lineRule="auto" w:before="7"/>
              <w:ind w:left="105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käänded: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nimi-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omadussõnade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ainsus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mitmus,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mitmuse vormi tunnused, nimi- ja omadussõnade käänamine;</w:t>
            </w:r>
          </w:p>
          <w:p>
            <w:pPr>
              <w:pStyle w:val="TableParagraph"/>
              <w:spacing w:before="168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Omadussõnad: nimi- ja omadussõna ühildumisreeglid täiendi vormis, käändumatud omadussõnad, omadussõna võrdlusastmed;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Arvsõnad: järgarvsõna moodustamine põhiarvsõnast, põhiarvsõna ja järgarvsõna käänamine omastavas, saavas, sees- , alal- ja alaleütlevas käändes; aastaarvude kirjutamine; Tegusõna rektsioon: Kõige sagedasemate tegusõnade rektsioon.</w:t>
            </w:r>
          </w:p>
        </w:tc>
      </w:tr>
      <w:tr>
        <w:trPr>
          <w:trHeight w:val="2166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Õppekeskkonna kirjeldus</w:t>
            </w:r>
          </w:p>
        </w:tc>
        <w:tc>
          <w:tcPr>
            <w:tcW w:w="6980" w:type="dxa"/>
          </w:tcPr>
          <w:p>
            <w:pPr>
              <w:pStyle w:val="TableParagraph"/>
              <w:spacing w:line="254" w:lineRule="auto" w:before="3"/>
              <w:ind w:left="105" w:right="134"/>
              <w:jc w:val="both"/>
              <w:rPr>
                <w:sz w:val="24"/>
              </w:rPr>
            </w:pPr>
            <w:r>
              <w:rPr>
                <w:sz w:val="24"/>
              </w:rPr>
              <w:t>Õpperuumis on tagatud iste- ja kirjutamiskohad nii õppijatele kui ka koolitajale. Õppevahenditest on olemas kirjutustahvel, arvuti, dataprojektor, kõlar ja printer õppematerjalide väljatrükkimiseks.</w:t>
            </w:r>
          </w:p>
          <w:p>
            <w:pPr>
              <w:pStyle w:val="TableParagraph"/>
              <w:tabs>
                <w:tab w:pos="1521" w:val="left" w:leader="none"/>
                <w:tab w:pos="2229" w:val="left" w:leader="none"/>
                <w:tab w:pos="2937" w:val="left" w:leader="none"/>
                <w:tab w:pos="3645" w:val="left" w:leader="none"/>
                <w:tab w:pos="4353" w:val="left" w:leader="none"/>
              </w:tabs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Õpperuum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avar,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soe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ja</w:t>
            </w:r>
            <w:r>
              <w:rPr>
                <w:sz w:val="24"/>
              </w:rPr>
              <w:tab/>
              <w:t>valgusküllane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4"/>
                <w:sz w:val="24"/>
              </w:rPr>
              <w:t>ning</w:t>
            </w:r>
          </w:p>
          <w:p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kaasaegse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ventilatsioonisüsteemiga.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olemas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garderoob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> tualett.</w:t>
            </w:r>
          </w:p>
          <w:p>
            <w:pPr>
              <w:pStyle w:val="TableParagraph"/>
              <w:spacing w:line="290" w:lineRule="atLeast" w:before="56"/>
              <w:ind w:left="105"/>
              <w:rPr>
                <w:sz w:val="24"/>
              </w:rPr>
            </w:pPr>
            <w:r>
              <w:rPr>
                <w:sz w:val="24"/>
              </w:rPr>
              <w:t>Õppeklass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selles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olev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õppevarustus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vastavad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tervisekaitse-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ja </w:t>
            </w:r>
            <w:r>
              <w:rPr>
                <w:spacing w:val="-2"/>
                <w:sz w:val="24"/>
              </w:rPr>
              <w:t>ohutusnõuetele.</w:t>
            </w:r>
          </w:p>
        </w:tc>
      </w:tr>
    </w:tbl>
    <w:p>
      <w:pPr>
        <w:pStyle w:val="TableParagraph"/>
        <w:spacing w:after="0" w:line="290" w:lineRule="atLeast"/>
        <w:rPr>
          <w:sz w:val="24"/>
        </w:rPr>
        <w:sectPr>
          <w:type w:val="continuous"/>
          <w:pgSz w:w="11910" w:h="16840"/>
          <w:pgMar w:top="1380" w:bottom="280" w:left="1417" w:right="1133"/>
        </w:sectPr>
      </w:pPr>
    </w:p>
    <w:tbl>
      <w:tblPr>
        <w:tblW w:w="0" w:type="auto"/>
        <w:jc w:val="left"/>
        <w:tblInd w:w="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6980"/>
      </w:tblGrid>
      <w:tr>
        <w:trPr>
          <w:trHeight w:val="9569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1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Õppematerjalide loend</w:t>
            </w:r>
          </w:p>
        </w:tc>
        <w:tc>
          <w:tcPr>
            <w:tcW w:w="6980" w:type="dxa"/>
          </w:tcPr>
          <w:p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Põhiõppematerjal:</w:t>
            </w:r>
          </w:p>
          <w:p>
            <w:pPr>
              <w:pStyle w:val="TableParagraph"/>
              <w:spacing w:before="163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0" w:after="0"/>
              <w:ind w:left="825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„E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nagu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Eesti.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Eesti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õpik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algajatele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A1+A2+B1”,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autorid Mall Pesti, Helve Ahi ( </w:t>
            </w:r>
            <w:hyperlink r:id="rId6">
              <w:r>
                <w:rPr>
                  <w:sz w:val="24"/>
                  <w:u w:val="single"/>
                </w:rPr>
                <w:t>www.enagueesti.e</w:t>
              </w:r>
            </w:hyperlink>
            <w:hyperlink r:id="rId6">
              <w:r>
                <w:rPr>
                  <w:sz w:val="24"/>
                  <w:u w:val="single"/>
                </w:rPr>
                <w:t>e</w:t>
              </w:r>
            </w:hyperlink>
            <w:hyperlink r:id="rId6">
              <w:r>
                <w:rPr>
                  <w:sz w:val="24"/>
                </w:rPr>
                <w:t>)</w:t>
              </w:r>
            </w:hyperlink>
            <w:hyperlink r:id="rId6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> Kiri-Mari kirjastus 2015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97" w:after="0"/>
              <w:ind w:left="825" w:right="563" w:hanging="360"/>
              <w:jc w:val="left"/>
              <w:rPr>
                <w:sz w:val="24"/>
              </w:rPr>
            </w:pPr>
            <w:r>
              <w:rPr>
                <w:sz w:val="24"/>
              </w:rPr>
              <w:t>„Suhtleme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Eestis.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Eesti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töövihik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A2.1“,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Ülle Rannut, Immisoft 2015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49" w:after="0"/>
              <w:ind w:left="825" w:right="563" w:hanging="360"/>
              <w:jc w:val="left"/>
              <w:rPr>
                <w:sz w:val="24"/>
              </w:rPr>
            </w:pPr>
            <w:r>
              <w:rPr>
                <w:sz w:val="24"/>
              </w:rPr>
              <w:t>„Suhtleme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Eestis.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Eesti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töövihik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A2.2“,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Ülle Rannut, Immisoft 2015</w:t>
            </w:r>
          </w:p>
          <w:p>
            <w:pPr>
              <w:pStyle w:val="TableParagraph"/>
              <w:spacing w:before="54"/>
              <w:ind w:left="0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Lisaõppematerjal:</w:t>
            </w:r>
          </w:p>
          <w:p>
            <w:pPr>
              <w:pStyle w:val="TableParagraph"/>
              <w:spacing w:before="34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0" w:after="0"/>
              <w:ind w:left="825" w:right="472" w:hanging="360"/>
              <w:jc w:val="left"/>
              <w:rPr>
                <w:sz w:val="24"/>
              </w:rPr>
            </w:pPr>
            <w:r>
              <w:rPr>
                <w:sz w:val="24"/>
              </w:rPr>
              <w:t>„Tere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jälle!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Eesti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õpik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(B1)“,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Merge Simmul, Inga Mangus, Kirjatark 2019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3" w:lineRule="auto" w:before="75" w:after="0"/>
              <w:ind w:left="825" w:right="135" w:hanging="3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„Algaja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õnn.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Lugemisoskuse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arendamisekmänge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ülesandeid eesti keele A2-tasemele“, autorid Leelo Kingesepp, Marju Ilves, Iduleht OÜ 2016 </w:t>
            </w:r>
            <w:r>
              <w:rPr>
                <w:b/>
                <w:sz w:val="24"/>
              </w:rPr>
              <w:t>Elektrooniline õppematerjal: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225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sõnaraamat: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hyperlink r:id="rId7">
              <w:r>
                <w:rPr>
                  <w:spacing w:val="-2"/>
                  <w:sz w:val="24"/>
                  <w:u w:val="single"/>
                </w:rPr>
                <w:t>http://www.eki.ee/dict/evs</w:t>
              </w:r>
            </w:hyperlink>
            <w:hyperlink r:id="rId7">
              <w:r>
                <w:rPr>
                  <w:spacing w:val="-2"/>
                  <w:sz w:val="24"/>
                  <w:u w:val="single"/>
                </w:rPr>
                <w:t>/</w:t>
              </w:r>
            </w:hyperlink>
            <w:hyperlink r:id="rId7">
              <w:r>
                <w:rPr>
                  <w:spacing w:val="-2"/>
                  <w:sz w:val="24"/>
                </w:rPr>
                <w:t>)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118" w:after="0"/>
              <w:ind w:left="825" w:right="765" w:hanging="360"/>
              <w:jc w:val="left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e-kursus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algajatele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baasil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(0-A2): </w:t>
            </w:r>
            <w:hyperlink r:id="rId8">
              <w:r>
                <w:rPr>
                  <w:spacing w:val="-2"/>
                  <w:sz w:val="24"/>
                </w:rPr>
                <w:t>(</w:t>
              </w:r>
            </w:hyperlink>
            <w:hyperlink r:id="rId8">
              <w:r>
                <w:rPr>
                  <w:spacing w:val="-2"/>
                  <w:sz w:val="24"/>
                  <w:u w:val="single"/>
                </w:rPr>
                <w:t>www.keeleklikk.e</w:t>
              </w:r>
            </w:hyperlink>
            <w:hyperlink r:id="rId8">
              <w:r>
                <w:rPr>
                  <w:spacing w:val="-2"/>
                  <w:sz w:val="24"/>
                  <w:u w:val="single"/>
                </w:rPr>
                <w:t>e</w:t>
              </w:r>
            </w:hyperlink>
            <w:hyperlink r:id="rId8">
              <w:r>
                <w:rPr>
                  <w:spacing w:val="-2"/>
                  <w:sz w:val="24"/>
                </w:rPr>
                <w:t>)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121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keele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https://viktoriin.meis.ee/soeltest/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5" w:lineRule="auto" w:before="163" w:after="0"/>
              <w:ind w:left="825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Eesti keele oskuse arendamise võimalused: </w:t>
            </w:r>
            <w:hyperlink r:id="rId9">
              <w:r>
                <w:rPr>
                  <w:sz w:val="24"/>
                  <w:u w:val="single"/>
                </w:rPr>
                <w:t>https://www.meis.ee</w:t>
              </w:r>
            </w:hyperlink>
            <w:hyperlink r:id="rId9">
              <w:r>
                <w:rPr>
                  <w:sz w:val="24"/>
                  <w:u w:val="single"/>
                </w:rPr>
                <w:t>/</w:t>
              </w:r>
            </w:hyperlink>
            <w:hyperlink r:id="rId10">
              <w:r>
                <w:rPr>
                  <w:sz w:val="24"/>
                </w:rPr>
                <w:t>,</w:t>
              </w:r>
            </w:hyperlink>
            <w:r>
              <w:rPr>
                <w:spacing w:val="-15"/>
                <w:sz w:val="24"/>
              </w:rPr>
              <w:t> </w:t>
            </w:r>
            <w:hyperlink r:id="rId10">
              <w:r>
                <w:rPr>
                  <w:sz w:val="24"/>
                  <w:u w:val="single"/>
                </w:rPr>
                <w:t>http://web.meis.ee/testes</w:t>
              </w:r>
            </w:hyperlink>
            <w:hyperlink r:id="rId10">
              <w:r>
                <w:rPr>
                  <w:sz w:val="24"/>
                  <w:u w:val="single"/>
                </w:rPr>
                <w:t>t/www.efant.e</w:t>
              </w:r>
            </w:hyperlink>
            <w:hyperlink r:id="rId10">
              <w:r>
                <w:rPr>
                  <w:sz w:val="24"/>
                  <w:u w:val="single"/>
                </w:rPr>
                <w:t>e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4" w:after="0"/>
              <w:ind w:left="825" w:right="1662" w:hanging="360"/>
              <w:jc w:val="left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  <w:u w:val="single"/>
                </w:rPr>
                <w:t>https://www.innove.ee/eksami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d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j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a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testid/eest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i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spacing w:val="-2"/>
                  <w:sz w:val="24"/>
                  <w:u w:val="single"/>
                </w:rPr>
                <w:t>keel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e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tasemeeksamid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/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2" w:lineRule="auto" w:before="115" w:after="0"/>
              <w:ind w:left="825" w:right="1662" w:hanging="360"/>
              <w:jc w:val="left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  <w:u w:val="single"/>
                </w:rPr>
                <w:t>https://www.innove.ee/eksami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d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j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a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testid/eest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i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-</w:t>
              </w:r>
            </w:hyperlink>
            <w:r>
              <w:rPr>
                <w:spacing w:val="-2"/>
                <w:sz w:val="24"/>
              </w:rPr>
              <w:t> </w:t>
            </w:r>
            <w:hyperlink r:id="rId11">
              <w:r>
                <w:rPr>
                  <w:spacing w:val="-2"/>
                  <w:sz w:val="24"/>
                  <w:u w:val="single"/>
                </w:rPr>
                <w:t>keel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e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tasemeeksamid</w:t>
              </w:r>
            </w:hyperlink>
            <w:hyperlink r:id="rId11">
              <w:r>
                <w:rPr>
                  <w:spacing w:val="-2"/>
                  <w:sz w:val="24"/>
                  <w:u w:val="single"/>
                </w:rPr>
                <w:t>/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112" w:after="0"/>
              <w:ind w:left="825" w:right="0" w:hanging="360"/>
              <w:jc w:val="left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  <w:u w:val="single"/>
                </w:rPr>
                <w:t>http://kohanemisprogramm.tlu.ee</w:t>
              </w:r>
            </w:hyperlink>
            <w:hyperlink r:id="rId12">
              <w:r>
                <w:rPr>
                  <w:spacing w:val="-2"/>
                  <w:sz w:val="24"/>
                  <w:u w:val="single"/>
                </w:rPr>
                <w:t>/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116" w:after="0"/>
              <w:ind w:left="825" w:right="0" w:hanging="360"/>
              <w:jc w:val="left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  <w:u w:val="single"/>
                </w:rPr>
                <w:t>https://www.integratsioon.ee/raamatukog</w:t>
              </w:r>
            </w:hyperlink>
            <w:hyperlink r:id="rId13">
              <w:r>
                <w:rPr>
                  <w:spacing w:val="-2"/>
                  <w:sz w:val="24"/>
                  <w:u w:val="single"/>
                </w:rPr>
                <w:t>u</w:t>
              </w:r>
            </w:hyperlink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80" w:bottom="280" w:left="1417" w:right="1133"/>
        </w:sectPr>
      </w:pPr>
    </w:p>
    <w:tbl>
      <w:tblPr>
        <w:tblW w:w="0" w:type="auto"/>
        <w:jc w:val="left"/>
        <w:tblInd w:w="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6980"/>
      </w:tblGrid>
      <w:tr>
        <w:trPr>
          <w:trHeight w:val="4901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11"/>
              <w:ind w:left="110" w:right="7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Lõpetamise </w:t>
            </w:r>
            <w:r>
              <w:rPr>
                <w:b/>
                <w:sz w:val="24"/>
              </w:rPr>
              <w:t>tingimused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ja </w:t>
            </w:r>
            <w:r>
              <w:rPr>
                <w:b/>
                <w:spacing w:val="-2"/>
                <w:sz w:val="24"/>
              </w:rPr>
              <w:t>väljastatavad dokumendid</w:t>
            </w:r>
          </w:p>
        </w:tc>
        <w:tc>
          <w:tcPr>
            <w:tcW w:w="6980" w:type="dxa"/>
          </w:tcPr>
          <w:p>
            <w:pPr>
              <w:pStyle w:val="TableParagraph"/>
              <w:spacing w:line="280" w:lineRule="auto" w:before="3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Kursuse lõpus tuleb sooritada eksam/A2-taseme test, mis sisaldab kirjutamist, kuulamist, lugemist ja rääkimist õpitud teemadel.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Eksam on edukalt sooritatud, kui vähemalt 70% vastuseid on õiged.</w:t>
            </w:r>
          </w:p>
          <w:p>
            <w:pPr>
              <w:pStyle w:val="TableParagraph"/>
              <w:spacing w:before="14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91%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100%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õigeid vastuseid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„5“ </w:t>
            </w:r>
            <w:r>
              <w:rPr>
                <w:spacing w:val="-2"/>
                <w:sz w:val="24"/>
              </w:rPr>
              <w:t>(suurepärane);</w:t>
            </w:r>
          </w:p>
          <w:p>
            <w:pPr>
              <w:pStyle w:val="TableParagraph"/>
              <w:spacing w:line="408" w:lineRule="auto" w:before="180"/>
              <w:ind w:left="105" w:right="2378"/>
              <w:jc w:val="both"/>
              <w:rPr>
                <w:sz w:val="24"/>
              </w:rPr>
            </w:pPr>
            <w:r>
              <w:rPr>
                <w:sz w:val="24"/>
              </w:rPr>
              <w:t>81%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õigeid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vastuseid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„4“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(hea);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70% – 80% õigeid vastuseid – „3“ (rahuldav).</w:t>
            </w:r>
          </w:p>
          <w:p>
            <w:pPr>
              <w:pStyle w:val="TableParagraph"/>
              <w:spacing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Keelekursusel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osalemise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või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läbimise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kohta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väljastatakse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õppijale </w:t>
            </w:r>
            <w:r>
              <w:rPr>
                <w:b/>
                <w:sz w:val="24"/>
              </w:rPr>
              <w:t>Tõend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või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Tunnistus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Õppija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saab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tunnistuse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koolituse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läbimise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kohta juhul, kui ta osales vähemalt 70% kontaktõppest ja on sooritanud koolitusfirmasisese lõpueksami positiivsele hindele. Tõend väljastatakse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juhul,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õpitulemusi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saavutatud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(koolitusfirmasisene lõpueksam ei ole sooritatud positiivsele hindele), ja/või õppija võttis osa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vähem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kui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kontaktõppest.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Tunnistus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tõend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vastavad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Haridus-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Teadusministeeriumi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nõuetele.</w:t>
            </w:r>
          </w:p>
        </w:tc>
      </w:tr>
      <w:tr>
        <w:trPr>
          <w:trHeight w:val="1955" w:hRule="atLeast"/>
        </w:trPr>
        <w:tc>
          <w:tcPr>
            <w:tcW w:w="2266" w:type="dxa"/>
          </w:tcPr>
          <w:p>
            <w:pPr>
              <w:pStyle w:val="TableParagraph"/>
              <w:spacing w:line="259" w:lineRule="auto" w:before="11"/>
              <w:ind w:left="110" w:righ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Koolituse läbiviimiseks vajaliku</w:t>
            </w:r>
          </w:p>
          <w:p>
            <w:pPr>
              <w:pStyle w:val="TableParagraph"/>
              <w:spacing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kvalifikatsiooni,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õpi- või töökogemuse </w:t>
            </w:r>
            <w:r>
              <w:rPr>
                <w:b/>
                <w:spacing w:val="-2"/>
                <w:sz w:val="24"/>
              </w:rPr>
              <w:t>kirjeldus</w:t>
            </w:r>
          </w:p>
        </w:tc>
        <w:tc>
          <w:tcPr>
            <w:tcW w:w="6980" w:type="dxa"/>
          </w:tcPr>
          <w:p>
            <w:pPr>
              <w:pStyle w:val="TableParagraph"/>
              <w:spacing w:line="259" w:lineRule="auto" w:before="6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Koolitusettevõtte eesti keele õpetajatel on olemas eesti keele kui võõrkeele õpetamise kvalifikatsioon või muu haridus eesti keele filoloogia valdkonnas ja/või varasem täiskasvanutele eesti keele õpetamise kogemus.</w:t>
            </w:r>
          </w:p>
        </w:tc>
      </w:tr>
    </w:tbl>
    <w:sectPr>
      <w:pgSz w:w="11910" w:h="16840"/>
      <w:pgMar w:top="138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050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2665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3895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4510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5125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5740" w:hanging="360"/>
      </w:pPr>
      <w:rPr>
        <w:rFonts w:hint="default"/>
        <w:lang w:val="et-EE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050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2665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3895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4510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5125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5740" w:hanging="360"/>
      </w:pPr>
      <w:rPr>
        <w:rFonts w:hint="default"/>
        <w:lang w:val="et-E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050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2665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3895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4510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5125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5740" w:hanging="360"/>
      </w:pPr>
      <w:rPr>
        <w:rFonts w:hint="default"/>
        <w:lang w:val="et-E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050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2665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3895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4510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5125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5740" w:hanging="360"/>
      </w:pPr>
      <w:rPr>
        <w:rFonts w:hint="default"/>
        <w:lang w:val="et-E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ind w:left="825"/>
    </w:pPr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iktoriin.meis.ee/soeltest/" TargetMode="External"/><Relationship Id="rId6" Type="http://schemas.openxmlformats.org/officeDocument/2006/relationships/hyperlink" Target="http://www.enagueesti.ee/" TargetMode="External"/><Relationship Id="rId7" Type="http://schemas.openxmlformats.org/officeDocument/2006/relationships/hyperlink" Target="http://www.eki.ee/dict/evs/" TargetMode="External"/><Relationship Id="rId8" Type="http://schemas.openxmlformats.org/officeDocument/2006/relationships/hyperlink" Target="http://www.keeleklikk.ee/" TargetMode="External"/><Relationship Id="rId9" Type="http://schemas.openxmlformats.org/officeDocument/2006/relationships/hyperlink" Target="https://www.meis.ee/" TargetMode="External"/><Relationship Id="rId10" Type="http://schemas.openxmlformats.org/officeDocument/2006/relationships/hyperlink" Target="http://web.meis.ee/testest/" TargetMode="External"/><Relationship Id="rId11" Type="http://schemas.openxmlformats.org/officeDocument/2006/relationships/hyperlink" Target="https://www.innove.ee/eksamid-ja-testid/eesti-keele-tasemeeksamid/" TargetMode="External"/><Relationship Id="rId12" Type="http://schemas.openxmlformats.org/officeDocument/2006/relationships/hyperlink" Target="http://kohanemisprogramm.tlu.ee/" TargetMode="External"/><Relationship Id="rId13" Type="http://schemas.openxmlformats.org/officeDocument/2006/relationships/hyperlink" Target="https://www.integratsioon.ee/raamatukogu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2025-05-13T14:09:45Z</dcterms:created>
  <dcterms:modified xsi:type="dcterms:W3CDTF">2025-05-13T14:09:45Z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